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9E3A5" w14:textId="061ADB14" w:rsidR="00F36DF0" w:rsidRPr="0052548E" w:rsidRDefault="00F36DF0" w:rsidP="00F36DF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52229">
        <w:rPr>
          <w:rFonts w:ascii="Arial" w:hAnsi="Arial" w:cs="Arial"/>
          <w:b/>
          <w:bCs/>
          <w:sz w:val="28"/>
        </w:rPr>
        <w:t>3GPP TSG RAN WG1 #101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="00563AB3" w:rsidRPr="00563AB3">
        <w:rPr>
          <w:rFonts w:ascii="Arial" w:hAnsi="Arial" w:cs="Arial"/>
          <w:b/>
          <w:bCs/>
          <w:sz w:val="28"/>
        </w:rPr>
        <w:t>R1-2003789</w:t>
      </w:r>
    </w:p>
    <w:p w14:paraId="337EF307" w14:textId="77777777" w:rsidR="00F36DF0" w:rsidRPr="009513AC" w:rsidRDefault="00F36DF0" w:rsidP="00F36D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4972736D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2.</w:t>
      </w:r>
      <w:r w:rsidR="00850231">
        <w:rPr>
          <w:rFonts w:ascii="Arial" w:hAnsi="Arial"/>
          <w:sz w:val="24"/>
        </w:rPr>
        <w:t>5</w:t>
      </w:r>
      <w:r w:rsidR="008260B0">
        <w:rPr>
          <w:rFonts w:ascii="Arial" w:hAnsi="Arial"/>
          <w:sz w:val="24"/>
        </w:rPr>
        <w:t>.</w:t>
      </w:r>
      <w:r w:rsidR="00850231">
        <w:rPr>
          <w:rFonts w:ascii="Arial" w:hAnsi="Arial"/>
          <w:sz w:val="24"/>
        </w:rPr>
        <w:t>3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1D32CD69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850231" w:rsidRPr="00850231">
        <w:rPr>
          <w:rFonts w:ascii="Arial" w:hAnsi="Arial"/>
          <w:sz w:val="24"/>
        </w:rPr>
        <w:t>UE features for MIMO</w:t>
      </w:r>
    </w:p>
    <w:p w14:paraId="286A5926" w14:textId="77777777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12B4E4E" w14:textId="457EF129" w:rsidR="00B32506" w:rsidRDefault="00850231" w:rsidP="00B32506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31F67F26" w14:textId="00F4F132" w:rsidR="00850231" w:rsidRDefault="00850231" w:rsidP="00850231">
      <w:r>
        <w:t xml:space="preserve">The current UE features for MIMO (from email thread </w:t>
      </w:r>
      <w:r w:rsidRPr="00850231">
        <w:t>[100e-b-LTE-UEFeatures-Remaining]</w:t>
      </w:r>
      <w:r>
        <w:t>) have the following FFS in component 3-1:</w:t>
      </w:r>
    </w:p>
    <w:p w14:paraId="4FD5A8FC" w14:textId="52C0B0A0" w:rsidR="00850231" w:rsidRDefault="00850231" w:rsidP="0085023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"/>
        <w:gridCol w:w="1314"/>
        <w:gridCol w:w="1090"/>
        <w:gridCol w:w="853"/>
        <w:gridCol w:w="525"/>
        <w:gridCol w:w="561"/>
        <w:gridCol w:w="870"/>
        <w:gridCol w:w="892"/>
        <w:gridCol w:w="601"/>
        <w:gridCol w:w="599"/>
        <w:gridCol w:w="1154"/>
        <w:gridCol w:w="829"/>
      </w:tblGrid>
      <w:tr w:rsidR="00850231" w:rsidRPr="00850231" w14:paraId="76AE4BDA" w14:textId="77777777" w:rsidTr="00850231">
        <w:tc>
          <w:tcPr>
            <w:tcW w:w="177" w:type="pct"/>
            <w:shd w:val="clear" w:color="auto" w:fill="auto"/>
          </w:tcPr>
          <w:p w14:paraId="7C07566A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3-1</w:t>
            </w:r>
          </w:p>
        </w:tc>
        <w:tc>
          <w:tcPr>
            <w:tcW w:w="408" w:type="pct"/>
            <w:shd w:val="clear" w:color="auto" w:fill="auto"/>
          </w:tcPr>
          <w:p w14:paraId="408B1638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Additional SRS symbols within normal UL subframes</w:t>
            </w:r>
            <w:r w:rsidRPr="00850231">
              <w:rPr>
                <w:rFonts w:eastAsia="Gulim"/>
                <w:color w:val="000000"/>
                <w:sz w:val="14"/>
                <w:szCs w:val="16"/>
              </w:rPr>
              <w:t xml:space="preserve"> without frequency hopping</w:t>
            </w:r>
          </w:p>
        </w:tc>
        <w:tc>
          <w:tcPr>
            <w:tcW w:w="599" w:type="pct"/>
            <w:shd w:val="clear" w:color="auto" w:fill="auto"/>
          </w:tcPr>
          <w:p w14:paraId="32E049F8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1. Support of additional 1~13 SRS symbols within normal UL subframes with repetitions,</w:t>
            </w:r>
          </w:p>
          <w:p w14:paraId="618290F3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</w:p>
          <w:p w14:paraId="68FF9CA8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476" w:type="pct"/>
            <w:shd w:val="clear" w:color="auto" w:fill="auto"/>
          </w:tcPr>
          <w:p w14:paraId="2A9725F7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306" w:type="pct"/>
            <w:shd w:val="clear" w:color="auto" w:fill="auto"/>
          </w:tcPr>
          <w:p w14:paraId="0398474E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Yes</w:t>
            </w:r>
          </w:p>
        </w:tc>
        <w:tc>
          <w:tcPr>
            <w:tcW w:w="324" w:type="pct"/>
            <w:shd w:val="clear" w:color="auto" w:fill="auto"/>
          </w:tcPr>
          <w:p w14:paraId="03F43542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rFonts w:hint="eastAsia"/>
                <w:sz w:val="14"/>
                <w:szCs w:val="16"/>
                <w:lang w:eastAsia="ja-JP"/>
              </w:rPr>
              <w:t>N/A</w:t>
            </w:r>
          </w:p>
        </w:tc>
        <w:tc>
          <w:tcPr>
            <w:tcW w:w="430" w:type="pct"/>
          </w:tcPr>
          <w:p w14:paraId="4AABE81D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Network cannot utilize additional SRS symbols within normal UL subframes</w:t>
            </w:r>
          </w:p>
        </w:tc>
        <w:tc>
          <w:tcPr>
            <w:tcW w:w="496" w:type="pct"/>
            <w:shd w:val="clear" w:color="auto" w:fill="auto"/>
          </w:tcPr>
          <w:p w14:paraId="3FF470C9" w14:textId="77777777" w:rsidR="00850231" w:rsidRPr="00850231" w:rsidRDefault="00850231" w:rsidP="0024569F">
            <w:pPr>
              <w:pStyle w:val="TAL"/>
              <w:rPr>
                <w:iCs/>
                <w:sz w:val="14"/>
                <w:szCs w:val="16"/>
                <w:lang w:eastAsia="ja-JP"/>
              </w:rPr>
            </w:pPr>
            <w:r w:rsidRPr="00850231">
              <w:rPr>
                <w:rFonts w:eastAsia="Gulim"/>
                <w:color w:val="000000"/>
                <w:sz w:val="14"/>
                <w:szCs w:val="16"/>
              </w:rPr>
              <w:t>Per UE</w:t>
            </w:r>
          </w:p>
        </w:tc>
        <w:tc>
          <w:tcPr>
            <w:tcW w:w="345" w:type="pct"/>
            <w:shd w:val="clear" w:color="auto" w:fill="auto"/>
          </w:tcPr>
          <w:p w14:paraId="1F97971A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rFonts w:eastAsia="Gulim"/>
                <w:sz w:val="14"/>
                <w:szCs w:val="16"/>
              </w:rPr>
              <w:t>TDD only</w:t>
            </w:r>
          </w:p>
        </w:tc>
        <w:tc>
          <w:tcPr>
            <w:tcW w:w="344" w:type="pct"/>
            <w:shd w:val="clear" w:color="auto" w:fill="auto"/>
          </w:tcPr>
          <w:p w14:paraId="158C903F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N/A</w:t>
            </w:r>
          </w:p>
        </w:tc>
        <w:tc>
          <w:tcPr>
            <w:tcW w:w="632" w:type="pct"/>
            <w:shd w:val="clear" w:color="auto" w:fill="auto"/>
          </w:tcPr>
          <w:p w14:paraId="4C868585" w14:textId="77777777" w:rsidR="00850231" w:rsidRPr="00850231" w:rsidRDefault="00850231" w:rsidP="0024569F">
            <w:pPr>
              <w:pStyle w:val="TAL"/>
              <w:rPr>
                <w:sz w:val="14"/>
                <w:szCs w:val="16"/>
              </w:rPr>
            </w:pPr>
            <w:r w:rsidRPr="00850231">
              <w:rPr>
                <w:sz w:val="14"/>
                <w:szCs w:val="16"/>
                <w:highlight w:val="yellow"/>
              </w:rPr>
              <w:t>FFS: How to capture the limitation that a UE may support additional SRS in cells with PUSCH, but not in PUSCH-less SCells. This may be realized by additional capability signaling (including new FG), or change the “additional SRS” (3-1) to per BoBC</w:t>
            </w:r>
          </w:p>
        </w:tc>
        <w:tc>
          <w:tcPr>
            <w:tcW w:w="464" w:type="pct"/>
            <w:shd w:val="clear" w:color="auto" w:fill="auto"/>
          </w:tcPr>
          <w:p w14:paraId="5FBD27D7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Optional with capability signalling</w:t>
            </w:r>
          </w:p>
        </w:tc>
      </w:tr>
    </w:tbl>
    <w:p w14:paraId="4544D0B4" w14:textId="77777777" w:rsidR="00850231" w:rsidRDefault="00850231" w:rsidP="00850231"/>
    <w:p w14:paraId="34E6422C" w14:textId="5817825A" w:rsidR="00850231" w:rsidRDefault="00850231" w:rsidP="00850231">
      <w:r>
        <w:t>In our companion contribution [</w:t>
      </w:r>
      <w:r w:rsidR="00890FD3">
        <w:t>1</w:t>
      </w:r>
      <w:r>
        <w:t>] we provide some remaining details on SRS carrier switching (CS) with type 2 SRS. In this contribution, we present our views on how to introduce a capability for SRS CS + type 2 SRS.</w:t>
      </w:r>
    </w:p>
    <w:p w14:paraId="24A091DB" w14:textId="3F083435" w:rsidR="00850231" w:rsidRDefault="00850231" w:rsidP="00850231"/>
    <w:p w14:paraId="5FE579C5" w14:textId="74816BFC" w:rsidR="00850231" w:rsidRDefault="00850231" w:rsidP="00850231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New capability</w:t>
      </w:r>
      <w:r w:rsidR="00890FD3">
        <w:t xml:space="preserve"> for SRS carrier switching</w:t>
      </w:r>
    </w:p>
    <w:p w14:paraId="38490C04" w14:textId="7FC003C7" w:rsidR="00850231" w:rsidRDefault="00850231" w:rsidP="00850231">
      <w:r>
        <w:t xml:space="preserve">Current SRS </w:t>
      </w:r>
      <w:r w:rsidR="00C105D1">
        <w:t>CS</w:t>
      </w:r>
      <w:r>
        <w:t xml:space="preserve"> capability is given by </w:t>
      </w:r>
      <w:r w:rsidRPr="00850231">
        <w:rPr>
          <w:i/>
          <w:iCs/>
        </w:rPr>
        <w:t>retuningTimeInfoBandList-r14</w:t>
      </w:r>
      <w:r>
        <w:t>, where the UE indicates, for a band pair in the band combination, whether the UE supports SRS carrier switching.</w:t>
      </w:r>
    </w:p>
    <w:p w14:paraId="41EBA3DE" w14:textId="10F8545A" w:rsidR="00850231" w:rsidRDefault="00850231" w:rsidP="00850231">
      <w:r>
        <w:t xml:space="preserve">In our view, it is necessary to introduce a separate capability for simultaneous additional SRS and SRS </w:t>
      </w:r>
      <w:r w:rsidR="00C105D1">
        <w:t>CS:</w:t>
      </w:r>
    </w:p>
    <w:p w14:paraId="4D8157CC" w14:textId="0B9A6133" w:rsidR="00C105D1" w:rsidRPr="00C105D1" w:rsidRDefault="00C105D1" w:rsidP="00C105D1">
      <w:pPr>
        <w:pStyle w:val="ListParagraph"/>
        <w:numPr>
          <w:ilvl w:val="0"/>
          <w:numId w:val="5"/>
        </w:numPr>
        <w:rPr>
          <w:lang w:val="en-US"/>
        </w:rPr>
      </w:pPr>
      <w:r>
        <w:t>SRS CS is not widely deployed today. It is unclear if the set of operators that will deploy SRS CS will also implement additional SRS (and vice-versa). Thus, there may not be IODT opportunities to test these two features together.</w:t>
      </w:r>
    </w:p>
    <w:p w14:paraId="3346DCF5" w14:textId="7F9E5EC5" w:rsidR="00C105D1" w:rsidRPr="00C105D1" w:rsidRDefault="00C105D1" w:rsidP="00C105D1">
      <w:pPr>
        <w:pStyle w:val="ListParagraph"/>
        <w:numPr>
          <w:ilvl w:val="0"/>
          <w:numId w:val="5"/>
        </w:numPr>
        <w:rPr>
          <w:lang w:val="en-US"/>
        </w:rPr>
      </w:pPr>
      <w:r>
        <w:t xml:space="preserve">The complexity of </w:t>
      </w:r>
      <w:r w:rsidR="00383FBA">
        <w:t>additional</w:t>
      </w:r>
      <w:r>
        <w:t xml:space="preserve"> SRS (from RF point of view) is further exacerbated by the combination with SRS CS. For example</w:t>
      </w:r>
      <w:r w:rsidR="00422A6F">
        <w:t>, in the case of intra-band contiguous CS</w:t>
      </w:r>
      <w:r w:rsidR="00383FBA">
        <w:t>,</w:t>
      </w:r>
      <w:r w:rsidR="00DC76C2">
        <w:t xml:space="preserve"> the impact of retuning is reduced, and thus it may be easier to implement the remaining RF operations (e.g. FH/AS) than the case</w:t>
      </w:r>
      <w:r w:rsidR="0069105A">
        <w:t xml:space="preserve"> of inter-band CS,</w:t>
      </w:r>
      <w:r w:rsidR="00DC76C2">
        <w:t xml:space="preserve"> where the retuning is requiring an almost complete reconfiguration of the front-end.</w:t>
      </w:r>
      <w:r w:rsidR="000B0CB4">
        <w:t xml:space="preserve"> In general, the complications related to SRS CS are band-pair specific.</w:t>
      </w:r>
    </w:p>
    <w:p w14:paraId="00B38863" w14:textId="2D01A716" w:rsidR="00850231" w:rsidRPr="00422A6F" w:rsidRDefault="00C105D1" w:rsidP="00850231">
      <w:r>
        <w:t xml:space="preserve">Due to these reasons, we propose to </w:t>
      </w:r>
      <w:r w:rsidR="00DC76C2">
        <w:t>follow</w:t>
      </w:r>
      <w:r>
        <w:t xml:space="preserve"> the SRS CS capability (</w:t>
      </w:r>
      <w:r w:rsidR="00422A6F" w:rsidRPr="00422A6F">
        <w:rPr>
          <w:i/>
          <w:iCs/>
        </w:rPr>
        <w:t>retuningTimeInfoBandList</w:t>
      </w:r>
      <w:r w:rsidR="00422A6F">
        <w:t>)</w:t>
      </w:r>
      <w:r w:rsidR="00DC76C2">
        <w:t xml:space="preserve"> to in</w:t>
      </w:r>
      <w:r w:rsidR="000B0CB4">
        <w:t>dicate support for additional SRS per band pair of band combination.</w:t>
      </w:r>
    </w:p>
    <w:p w14:paraId="1CE335EE" w14:textId="19CFD7CD" w:rsidR="00850231" w:rsidRDefault="00850231" w:rsidP="00850231">
      <w:pPr>
        <w:rPr>
          <w:b/>
          <w:bCs/>
        </w:rPr>
      </w:pPr>
      <w:r w:rsidRPr="00850231">
        <w:rPr>
          <w:b/>
          <w:bCs/>
          <w:u w:val="single"/>
        </w:rPr>
        <w:lastRenderedPageBreak/>
        <w:t>Proposal:</w:t>
      </w:r>
      <w:r>
        <w:rPr>
          <w:b/>
          <w:bCs/>
        </w:rPr>
        <w:t xml:space="preserve"> Introduce a new capability (per band pair of band combination) of whether SRS carrier switching can be used with additional SRS.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"/>
        <w:gridCol w:w="870"/>
        <w:gridCol w:w="1023"/>
        <w:gridCol w:w="792"/>
        <w:gridCol w:w="458"/>
        <w:gridCol w:w="492"/>
        <w:gridCol w:w="870"/>
        <w:gridCol w:w="971"/>
        <w:gridCol w:w="535"/>
        <w:gridCol w:w="533"/>
        <w:gridCol w:w="1944"/>
        <w:gridCol w:w="800"/>
      </w:tblGrid>
      <w:tr w:rsidR="00850231" w:rsidRPr="00850231" w14:paraId="73ADF41E" w14:textId="77777777" w:rsidTr="0024569F">
        <w:tc>
          <w:tcPr>
            <w:tcW w:w="177" w:type="pct"/>
            <w:shd w:val="clear" w:color="auto" w:fill="auto"/>
          </w:tcPr>
          <w:p w14:paraId="57C91A34" w14:textId="54DEFB20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3-</w:t>
            </w:r>
            <w:r>
              <w:rPr>
                <w:sz w:val="14"/>
                <w:szCs w:val="16"/>
                <w:lang w:eastAsia="ja-JP"/>
              </w:rPr>
              <w:t>x</w:t>
            </w:r>
          </w:p>
        </w:tc>
        <w:tc>
          <w:tcPr>
            <w:tcW w:w="408" w:type="pct"/>
            <w:shd w:val="clear" w:color="auto" w:fill="auto"/>
          </w:tcPr>
          <w:p w14:paraId="58FF1CDF" w14:textId="57DF5AAA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Additional SRS symbols within normal UL subframes</w:t>
            </w:r>
            <w:r w:rsidRPr="00850231">
              <w:rPr>
                <w:rFonts w:eastAsia="Gulim"/>
                <w:color w:val="000000"/>
                <w:sz w:val="14"/>
                <w:szCs w:val="16"/>
              </w:rPr>
              <w:t xml:space="preserve"> with</w:t>
            </w:r>
            <w:r>
              <w:rPr>
                <w:rFonts w:eastAsia="Gulim"/>
                <w:color w:val="000000"/>
                <w:sz w:val="14"/>
                <w:szCs w:val="16"/>
              </w:rPr>
              <w:t xml:space="preserve"> SRS carrier switching</w:t>
            </w:r>
          </w:p>
        </w:tc>
        <w:tc>
          <w:tcPr>
            <w:tcW w:w="599" w:type="pct"/>
            <w:shd w:val="clear" w:color="auto" w:fill="auto"/>
          </w:tcPr>
          <w:p w14:paraId="4E038B00" w14:textId="715F5E81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 xml:space="preserve">1. Support of additional 1~13 SRS symbols within normal UL subframes </w:t>
            </w:r>
            <w:r>
              <w:rPr>
                <w:sz w:val="14"/>
                <w:szCs w:val="16"/>
                <w:lang w:eastAsia="ja-JP"/>
              </w:rPr>
              <w:t>with SRS carrier switching</w:t>
            </w:r>
          </w:p>
          <w:p w14:paraId="78F85FBB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</w:p>
          <w:p w14:paraId="6B7D75E1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</w:p>
        </w:tc>
        <w:tc>
          <w:tcPr>
            <w:tcW w:w="476" w:type="pct"/>
            <w:shd w:val="clear" w:color="auto" w:fill="auto"/>
          </w:tcPr>
          <w:p w14:paraId="35168245" w14:textId="390220FE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3-1, SRS carrier switching</w:t>
            </w:r>
          </w:p>
        </w:tc>
        <w:tc>
          <w:tcPr>
            <w:tcW w:w="306" w:type="pct"/>
            <w:shd w:val="clear" w:color="auto" w:fill="auto"/>
          </w:tcPr>
          <w:p w14:paraId="3B9070D3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Yes</w:t>
            </w:r>
          </w:p>
        </w:tc>
        <w:tc>
          <w:tcPr>
            <w:tcW w:w="324" w:type="pct"/>
            <w:shd w:val="clear" w:color="auto" w:fill="auto"/>
          </w:tcPr>
          <w:p w14:paraId="2F452DBD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rFonts w:hint="eastAsia"/>
                <w:sz w:val="14"/>
                <w:szCs w:val="16"/>
                <w:lang w:eastAsia="ja-JP"/>
              </w:rPr>
              <w:t>N/A</w:t>
            </w:r>
          </w:p>
        </w:tc>
        <w:tc>
          <w:tcPr>
            <w:tcW w:w="430" w:type="pct"/>
          </w:tcPr>
          <w:p w14:paraId="0BF87265" w14:textId="79A6B26F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Network cannot utilize additional SRS symbols within normal UL subframes</w:t>
            </w:r>
            <w:r>
              <w:rPr>
                <w:sz w:val="14"/>
                <w:szCs w:val="16"/>
                <w:lang w:eastAsia="ja-JP"/>
              </w:rPr>
              <w:t xml:space="preserve"> </w:t>
            </w:r>
            <w:r w:rsidR="00383FBA">
              <w:rPr>
                <w:sz w:val="14"/>
                <w:szCs w:val="16"/>
                <w:lang w:eastAsia="ja-JP"/>
              </w:rPr>
              <w:t xml:space="preserve">with </w:t>
            </w:r>
            <w:r>
              <w:rPr>
                <w:sz w:val="14"/>
                <w:szCs w:val="16"/>
                <w:lang w:eastAsia="ja-JP"/>
              </w:rPr>
              <w:t>SRS carrier switching</w:t>
            </w:r>
          </w:p>
        </w:tc>
        <w:tc>
          <w:tcPr>
            <w:tcW w:w="496" w:type="pct"/>
            <w:shd w:val="clear" w:color="auto" w:fill="auto"/>
          </w:tcPr>
          <w:p w14:paraId="55495226" w14:textId="72EFCF89" w:rsidR="00850231" w:rsidRPr="00850231" w:rsidRDefault="00850231" w:rsidP="0024569F">
            <w:pPr>
              <w:pStyle w:val="TAL"/>
              <w:rPr>
                <w:iCs/>
                <w:sz w:val="14"/>
                <w:szCs w:val="16"/>
                <w:lang w:eastAsia="ja-JP"/>
              </w:rPr>
            </w:pPr>
            <w:r>
              <w:rPr>
                <w:iCs/>
                <w:sz w:val="14"/>
                <w:szCs w:val="16"/>
                <w:lang w:eastAsia="ja-JP"/>
              </w:rPr>
              <w:t>Per Band Pair of Band combination</w:t>
            </w:r>
          </w:p>
        </w:tc>
        <w:tc>
          <w:tcPr>
            <w:tcW w:w="345" w:type="pct"/>
            <w:shd w:val="clear" w:color="auto" w:fill="auto"/>
          </w:tcPr>
          <w:p w14:paraId="78E16440" w14:textId="02D8C9B1" w:rsidR="00850231" w:rsidRPr="00850231" w:rsidRDefault="001F4C1A" w:rsidP="0024569F">
            <w:pPr>
              <w:pStyle w:val="TAL"/>
              <w:rPr>
                <w:sz w:val="14"/>
                <w:szCs w:val="16"/>
                <w:lang w:eastAsia="ja-JP"/>
              </w:rPr>
            </w:pPr>
            <w:r>
              <w:rPr>
                <w:rFonts w:eastAsia="Gulim"/>
                <w:sz w:val="14"/>
                <w:szCs w:val="16"/>
              </w:rPr>
              <w:t>N/A</w:t>
            </w:r>
          </w:p>
        </w:tc>
        <w:tc>
          <w:tcPr>
            <w:tcW w:w="344" w:type="pct"/>
            <w:shd w:val="clear" w:color="auto" w:fill="auto"/>
          </w:tcPr>
          <w:p w14:paraId="79CFF364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N/A</w:t>
            </w:r>
          </w:p>
        </w:tc>
        <w:tc>
          <w:tcPr>
            <w:tcW w:w="632" w:type="pct"/>
            <w:shd w:val="clear" w:color="auto" w:fill="auto"/>
          </w:tcPr>
          <w:p w14:paraId="39B9452E" w14:textId="1671374B" w:rsidR="00850231" w:rsidRPr="00850231" w:rsidRDefault="00850231" w:rsidP="0024569F">
            <w:pPr>
              <w:pStyle w:val="T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For each band pair for which the UE reports SRS carrier switching capability (</w:t>
            </w:r>
            <w:r w:rsidRPr="00C105D1">
              <w:rPr>
                <w:i/>
                <w:iCs/>
                <w:sz w:val="14"/>
                <w:szCs w:val="16"/>
              </w:rPr>
              <w:t>retuningTimeInfoBandList</w:t>
            </w:r>
            <w:r>
              <w:rPr>
                <w:sz w:val="14"/>
                <w:szCs w:val="16"/>
              </w:rPr>
              <w:t xml:space="preserve">), the UE indicates whether additional SRS </w:t>
            </w:r>
            <w:r w:rsidR="00383FBA" w:rsidRPr="00850231">
              <w:rPr>
                <w:sz w:val="14"/>
                <w:szCs w:val="16"/>
                <w:lang w:eastAsia="ja-JP"/>
              </w:rPr>
              <w:t>within normal UL subframes</w:t>
            </w:r>
            <w:r w:rsidR="00383FBA">
              <w:rPr>
                <w:sz w:val="14"/>
                <w:szCs w:val="16"/>
                <w:lang w:eastAsia="ja-JP"/>
              </w:rPr>
              <w:t xml:space="preserve"> </w:t>
            </w:r>
            <w:r>
              <w:rPr>
                <w:sz w:val="14"/>
                <w:szCs w:val="16"/>
              </w:rPr>
              <w:t>can be used.</w:t>
            </w:r>
          </w:p>
        </w:tc>
        <w:tc>
          <w:tcPr>
            <w:tcW w:w="464" w:type="pct"/>
            <w:shd w:val="clear" w:color="auto" w:fill="auto"/>
          </w:tcPr>
          <w:p w14:paraId="139FC750" w14:textId="77777777" w:rsidR="00850231" w:rsidRPr="00850231" w:rsidRDefault="00850231" w:rsidP="0024569F">
            <w:pPr>
              <w:pStyle w:val="TAL"/>
              <w:rPr>
                <w:sz w:val="14"/>
                <w:szCs w:val="16"/>
                <w:lang w:eastAsia="ja-JP"/>
              </w:rPr>
            </w:pPr>
            <w:r w:rsidRPr="00850231">
              <w:rPr>
                <w:sz w:val="14"/>
                <w:szCs w:val="16"/>
                <w:lang w:eastAsia="ja-JP"/>
              </w:rPr>
              <w:t>Optional with capability signalling</w:t>
            </w:r>
          </w:p>
        </w:tc>
      </w:tr>
    </w:tbl>
    <w:p w14:paraId="559681ED" w14:textId="77777777" w:rsidR="00850231" w:rsidRPr="00850231" w:rsidRDefault="00850231" w:rsidP="00850231">
      <w:pPr>
        <w:rPr>
          <w:b/>
          <w:bCs/>
        </w:rPr>
      </w:pPr>
    </w:p>
    <w:p w14:paraId="38C7B131" w14:textId="1D85481E" w:rsidR="00850231" w:rsidRDefault="00850231" w:rsidP="00850231"/>
    <w:p w14:paraId="4A433EA8" w14:textId="6D22CD7B" w:rsidR="00890FD3" w:rsidRDefault="00890FD3" w:rsidP="00890FD3">
      <w:pPr>
        <w:pStyle w:val="Heading1"/>
        <w:jc w:val="both"/>
      </w:pPr>
      <w:r>
        <w:t>References</w:t>
      </w:r>
    </w:p>
    <w:p w14:paraId="500E00CF" w14:textId="4357D0E5" w:rsidR="00890FD3" w:rsidRPr="00890FD3" w:rsidRDefault="00890FD3" w:rsidP="00890FD3">
      <w:pPr>
        <w:spacing w:after="0"/>
        <w:rPr>
          <w:rFonts w:ascii="Arial" w:hAnsi="Arial" w:cs="Arial"/>
          <w:color w:val="C0504D"/>
          <w:sz w:val="16"/>
          <w:szCs w:val="16"/>
          <w:lang w:val="en-US"/>
        </w:rPr>
      </w:pPr>
      <w:r w:rsidRPr="00890FD3">
        <w:t xml:space="preserve">[1] </w:t>
      </w:r>
      <w:r w:rsidRPr="00890FD3">
        <w:t>R1-2003784</w:t>
      </w:r>
      <w:r>
        <w:t xml:space="preserve"> </w:t>
      </w:r>
      <w:r w:rsidRPr="00890FD3">
        <w:t>Additional SRS symbols</w:t>
      </w:r>
      <w:r w:rsidRPr="00890FD3">
        <w:t>, Qualcomm Incorporated</w:t>
      </w:r>
    </w:p>
    <w:p w14:paraId="02DA839B" w14:textId="77777777" w:rsidR="00890FD3" w:rsidRPr="00850231" w:rsidRDefault="00890FD3" w:rsidP="00850231"/>
    <w:sectPr w:rsidR="00890FD3" w:rsidRPr="00850231" w:rsidSect="00D649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11A33" w14:textId="77777777" w:rsidR="00872CE9" w:rsidRDefault="00872CE9">
      <w:pPr>
        <w:spacing w:after="0"/>
      </w:pPr>
      <w:r>
        <w:separator/>
      </w:r>
    </w:p>
  </w:endnote>
  <w:endnote w:type="continuationSeparator" w:id="0">
    <w:p w14:paraId="2667A9DF" w14:textId="77777777" w:rsidR="00872CE9" w:rsidRDefault="0087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872CE9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92EB6" w14:textId="77777777" w:rsidR="00F36DF0" w:rsidRDefault="00F36D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20396" w14:textId="77777777" w:rsidR="00872CE9" w:rsidRDefault="00872CE9">
      <w:pPr>
        <w:spacing w:after="0"/>
      </w:pPr>
      <w:r>
        <w:separator/>
      </w:r>
    </w:p>
  </w:footnote>
  <w:footnote w:type="continuationSeparator" w:id="0">
    <w:p w14:paraId="6FD32C24" w14:textId="77777777" w:rsidR="00872CE9" w:rsidRDefault="0087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A1813" w14:textId="77777777" w:rsidR="00F36DF0" w:rsidRDefault="00F36D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E99F2" w14:textId="77777777" w:rsidR="00F36DF0" w:rsidRDefault="00F36D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247B3F"/>
    <w:multiLevelType w:val="hybridMultilevel"/>
    <w:tmpl w:val="DB42E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37582"/>
    <w:rsid w:val="00042869"/>
    <w:rsid w:val="00054E5C"/>
    <w:rsid w:val="00063DAE"/>
    <w:rsid w:val="00091C3A"/>
    <w:rsid w:val="000B0CB4"/>
    <w:rsid w:val="00122D19"/>
    <w:rsid w:val="00124E5D"/>
    <w:rsid w:val="00125DAC"/>
    <w:rsid w:val="00146E52"/>
    <w:rsid w:val="00154C05"/>
    <w:rsid w:val="001A452F"/>
    <w:rsid w:val="001B1EC7"/>
    <w:rsid w:val="001E1134"/>
    <w:rsid w:val="001F4C1A"/>
    <w:rsid w:val="00255F0A"/>
    <w:rsid w:val="00260902"/>
    <w:rsid w:val="002742EE"/>
    <w:rsid w:val="0029388D"/>
    <w:rsid w:val="00383FBA"/>
    <w:rsid w:val="00386F50"/>
    <w:rsid w:val="003E4EB7"/>
    <w:rsid w:val="00400A2E"/>
    <w:rsid w:val="0041454F"/>
    <w:rsid w:val="00422A6F"/>
    <w:rsid w:val="00476C2A"/>
    <w:rsid w:val="0049613A"/>
    <w:rsid w:val="00502981"/>
    <w:rsid w:val="00520F4B"/>
    <w:rsid w:val="0055738F"/>
    <w:rsid w:val="00561A0F"/>
    <w:rsid w:val="00563AB3"/>
    <w:rsid w:val="00572128"/>
    <w:rsid w:val="00586156"/>
    <w:rsid w:val="005A74CD"/>
    <w:rsid w:val="005D201C"/>
    <w:rsid w:val="00601F79"/>
    <w:rsid w:val="00620296"/>
    <w:rsid w:val="00623263"/>
    <w:rsid w:val="00632162"/>
    <w:rsid w:val="0069105A"/>
    <w:rsid w:val="006B3A59"/>
    <w:rsid w:val="006B4FEE"/>
    <w:rsid w:val="0071146B"/>
    <w:rsid w:val="0075364E"/>
    <w:rsid w:val="00794448"/>
    <w:rsid w:val="008260B0"/>
    <w:rsid w:val="00835C35"/>
    <w:rsid w:val="00850231"/>
    <w:rsid w:val="00872CE9"/>
    <w:rsid w:val="00890FD3"/>
    <w:rsid w:val="008C6866"/>
    <w:rsid w:val="008D60F7"/>
    <w:rsid w:val="00904028"/>
    <w:rsid w:val="00983EFA"/>
    <w:rsid w:val="009E2C20"/>
    <w:rsid w:val="009F0072"/>
    <w:rsid w:val="00A06BA2"/>
    <w:rsid w:val="00A238B6"/>
    <w:rsid w:val="00A40DBD"/>
    <w:rsid w:val="00A5043D"/>
    <w:rsid w:val="00AA685A"/>
    <w:rsid w:val="00AB425B"/>
    <w:rsid w:val="00AB6DBE"/>
    <w:rsid w:val="00AE7EB7"/>
    <w:rsid w:val="00B17212"/>
    <w:rsid w:val="00B32506"/>
    <w:rsid w:val="00B42AB1"/>
    <w:rsid w:val="00B64F64"/>
    <w:rsid w:val="00BA11DA"/>
    <w:rsid w:val="00BA2B73"/>
    <w:rsid w:val="00BF27FB"/>
    <w:rsid w:val="00C056B0"/>
    <w:rsid w:val="00C105D1"/>
    <w:rsid w:val="00C51EDA"/>
    <w:rsid w:val="00C73B9F"/>
    <w:rsid w:val="00CD6583"/>
    <w:rsid w:val="00D31AEF"/>
    <w:rsid w:val="00D601B4"/>
    <w:rsid w:val="00D6066F"/>
    <w:rsid w:val="00D76286"/>
    <w:rsid w:val="00D8305F"/>
    <w:rsid w:val="00DC6F4D"/>
    <w:rsid w:val="00DC76C2"/>
    <w:rsid w:val="00E06B08"/>
    <w:rsid w:val="00E357FC"/>
    <w:rsid w:val="00E74BCC"/>
    <w:rsid w:val="00E757A5"/>
    <w:rsid w:val="00EF786E"/>
    <w:rsid w:val="00F00BC4"/>
    <w:rsid w:val="00F22702"/>
    <w:rsid w:val="00F36DF0"/>
    <w:rsid w:val="00F47E3B"/>
    <w:rsid w:val="00F5785D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paragraph" w:customStyle="1" w:styleId="TAL">
    <w:name w:val="TAL"/>
    <w:basedOn w:val="Normal"/>
    <w:link w:val="TALCar"/>
    <w:qFormat/>
    <w:rsid w:val="00850231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DefaultParagraphFont"/>
    <w:link w:val="TAL"/>
    <w:qFormat/>
    <w:locked/>
    <w:rsid w:val="00850231"/>
    <w:rPr>
      <w:rFonts w:ascii="Arial" w:eastAsiaTheme="minorEastAsia" w:hAnsi="Arial"/>
      <w:sz w:val="18"/>
      <w:lang w:val="en-GB"/>
    </w:rPr>
  </w:style>
  <w:style w:type="paragraph" w:styleId="Revision">
    <w:name w:val="Revision"/>
    <w:hidden/>
    <w:uiPriority w:val="99"/>
    <w:semiHidden/>
    <w:rsid w:val="0071146B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QC II</cp:lastModifiedBy>
  <cp:revision>4</cp:revision>
  <cp:lastPrinted>2020-02-10T06:14:00Z</cp:lastPrinted>
  <dcterms:created xsi:type="dcterms:W3CDTF">2020-05-13T21:04:00Z</dcterms:created>
  <dcterms:modified xsi:type="dcterms:W3CDTF">2020-05-13T21:19:00Z</dcterms:modified>
</cp:coreProperties>
</file>